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D0A" w:rsidRPr="00662D0A" w:rsidRDefault="00662D0A" w:rsidP="00662D0A">
      <w:pPr>
        <w:tabs>
          <w:tab w:val="num" w:pos="720"/>
        </w:tabs>
      </w:pPr>
      <w:r w:rsidRPr="00662D0A">
        <w:rPr>
          <w:bCs/>
        </w:rPr>
        <w:t>DPK.252.13.2025.KD.2</w:t>
      </w:r>
      <w:r w:rsidRPr="00662D0A">
        <w:rPr>
          <w:bCs/>
        </w:rPr>
        <w:tab/>
      </w:r>
      <w:r w:rsidRPr="00662D0A">
        <w:rPr>
          <w:bCs/>
        </w:rPr>
        <w:tab/>
      </w:r>
      <w:r w:rsidRPr="00662D0A">
        <w:rPr>
          <w:bCs/>
        </w:rPr>
        <w:tab/>
      </w:r>
      <w:r w:rsidRPr="00662D0A">
        <w:rPr>
          <w:bCs/>
        </w:rPr>
        <w:tab/>
      </w:r>
      <w:r w:rsidRPr="00662D0A">
        <w:rPr>
          <w:bCs/>
        </w:rPr>
        <w:tab/>
      </w:r>
      <w:r w:rsidRPr="00662D0A">
        <w:rPr>
          <w:bCs/>
        </w:rPr>
        <w:tab/>
        <w:t xml:space="preserve">Gdańsk, dnia </w:t>
      </w:r>
      <w:r>
        <w:rPr>
          <w:bCs/>
        </w:rPr>
        <w:t>23</w:t>
      </w:r>
      <w:r w:rsidRPr="00662D0A">
        <w:rPr>
          <w:bCs/>
        </w:rPr>
        <w:t xml:space="preserve"> września 2025 r.</w:t>
      </w:r>
    </w:p>
    <w:p w:rsidR="00662D0A" w:rsidRPr="00662D0A" w:rsidRDefault="00662D0A" w:rsidP="00662D0A">
      <w:pPr>
        <w:tabs>
          <w:tab w:val="num" w:pos="720"/>
        </w:tabs>
        <w:ind w:left="720" w:hanging="360"/>
      </w:pPr>
    </w:p>
    <w:p w:rsidR="00662D0A" w:rsidRPr="00662D0A" w:rsidRDefault="00662D0A" w:rsidP="00662D0A">
      <w:pPr>
        <w:rPr>
          <w:b/>
          <w:bCs/>
        </w:rPr>
      </w:pPr>
      <w:r w:rsidRPr="00662D0A">
        <w:t xml:space="preserve">W nawiązaniu do ogłoszenia o oszacowanie zamówienia z dnia </w:t>
      </w:r>
      <w:r>
        <w:t>22</w:t>
      </w:r>
      <w:r w:rsidRPr="00662D0A">
        <w:t xml:space="preserve"> września 2025 r. pn. </w:t>
      </w:r>
      <w:r w:rsidRPr="00662D0A">
        <w:rPr>
          <w:b/>
          <w:bCs/>
        </w:rPr>
        <w:t>Opracowanie projektu koncepcyjnego systemu wskazywania drogi (</w:t>
      </w:r>
      <w:proofErr w:type="spellStart"/>
      <w:r w:rsidRPr="00662D0A">
        <w:rPr>
          <w:b/>
          <w:bCs/>
        </w:rPr>
        <w:t>wayfinding</w:t>
      </w:r>
      <w:proofErr w:type="spellEnd"/>
      <w:r w:rsidRPr="00662D0A">
        <w:rPr>
          <w:b/>
          <w:bCs/>
        </w:rPr>
        <w:t>) i wykonanie oznakowania wewnętrznego i zewnętrznego przy ul. Poniatowskiego 4a w Słupsku</w:t>
      </w:r>
    </w:p>
    <w:p w:rsidR="00662D0A" w:rsidRPr="00662D0A" w:rsidRDefault="00662D0A" w:rsidP="00662D0A">
      <w:pPr>
        <w:tabs>
          <w:tab w:val="num" w:pos="720"/>
        </w:tabs>
      </w:pPr>
      <w:r w:rsidRPr="00662D0A">
        <w:t>Zamawiający udziela odpowiedzi na pytania z wyjaśnieniami:</w:t>
      </w:r>
    </w:p>
    <w:p w:rsidR="00662D0A" w:rsidRDefault="00662D0A" w:rsidP="00044FA3">
      <w:pPr>
        <w:pStyle w:val="Nagwek1"/>
      </w:pPr>
      <w:r w:rsidRPr="00044FA3">
        <w:t>Pytanie</w:t>
      </w:r>
      <w:r w:rsidRPr="001D0BF1">
        <w:t xml:space="preserve"> 1</w:t>
      </w:r>
    </w:p>
    <w:p w:rsidR="0064697E" w:rsidRDefault="0064697E" w:rsidP="0064697E">
      <w:pPr>
        <w:tabs>
          <w:tab w:val="num" w:pos="720"/>
        </w:tabs>
      </w:pPr>
      <w:r w:rsidRPr="0064697E">
        <w:t>Zapytanie dotyczy zarówno zaprojektowania systemu jak i wykonania elementów. Koszt wykonania elementów jest jednak mocno uzależniony od samego projektu, zastosowanych rozwiązań i materiałów. Może zatem to prowadzić do stosowania najprostszych i najtańszych rozwiązań</w:t>
      </w:r>
    </w:p>
    <w:p w:rsidR="0064697E" w:rsidRPr="0064697E" w:rsidRDefault="0064697E" w:rsidP="00991137">
      <w:pPr>
        <w:spacing w:before="120"/>
        <w:ind w:left="426"/>
        <w:rPr>
          <w:bCs/>
          <w:i/>
        </w:rPr>
      </w:pPr>
      <w:r w:rsidRPr="00B76FC5">
        <w:rPr>
          <w:b/>
          <w:i/>
        </w:rPr>
        <w:t>Odpowiedź:</w:t>
      </w:r>
      <w:r w:rsidRPr="0064697E">
        <w:rPr>
          <w:i/>
        </w:rPr>
        <w:t xml:space="preserve"> Zamawiający w </w:t>
      </w:r>
      <w:proofErr w:type="spellStart"/>
      <w:r w:rsidRPr="0064697E">
        <w:rPr>
          <w:i/>
        </w:rPr>
        <w:t>SOPZ</w:t>
      </w:r>
      <w:proofErr w:type="spellEnd"/>
      <w:r w:rsidRPr="0064697E">
        <w:rPr>
          <w:i/>
        </w:rPr>
        <w:t xml:space="preserve"> </w:t>
      </w:r>
      <w:r w:rsidRPr="00044FA3">
        <w:rPr>
          <w:rStyle w:val="Nagwek2Znak"/>
        </w:rPr>
        <w:t>podkreślił, że użyte do oznakowania materiały powinny być lekkie, wytrzymałe, odporne na dotyk/ścieranie oraz Wykonawca udzieli dwuletniej gwarancji na użyte do oznaczeń materiały (Rozdz. V pkt 8 i 9). Zatem Zamawiający będzie wymagał spełnienia tego warunku i należy go wziąć pod uwagę</w:t>
      </w:r>
      <w:r>
        <w:rPr>
          <w:bCs/>
          <w:i/>
        </w:rPr>
        <w:t xml:space="preserve"> przy szacowaniu wartości zamówienia.</w:t>
      </w:r>
    </w:p>
    <w:p w:rsidR="0064697E" w:rsidRPr="001D0BF1" w:rsidRDefault="0064697E" w:rsidP="00044FA3">
      <w:pPr>
        <w:pStyle w:val="Nagwek1"/>
      </w:pPr>
      <w:r w:rsidRPr="001D0BF1">
        <w:t>Pytanie 2</w:t>
      </w:r>
    </w:p>
    <w:p w:rsidR="00662D0A" w:rsidRPr="00662D0A" w:rsidRDefault="00662D0A" w:rsidP="00662D0A">
      <w:r w:rsidRPr="00662D0A">
        <w:t>Czy mogę prosić o przesłanie:</w:t>
      </w:r>
    </w:p>
    <w:p w:rsidR="00662D0A" w:rsidRDefault="00662D0A" w:rsidP="00662D0A">
      <w:pPr>
        <w:pStyle w:val="harmonorampkt"/>
        <w:numPr>
          <w:ilvl w:val="0"/>
          <w:numId w:val="13"/>
        </w:numPr>
        <w:rPr>
          <w:sz w:val="22"/>
        </w:rPr>
      </w:pPr>
      <w:r w:rsidRPr="00507333">
        <w:rPr>
          <w:sz w:val="22"/>
        </w:rPr>
        <w:t>spisu bądź liczby pomieszczeń w budynku?</w:t>
      </w:r>
    </w:p>
    <w:p w:rsidR="00507333" w:rsidRPr="00427373" w:rsidRDefault="00493219" w:rsidP="0064697E">
      <w:pPr>
        <w:pStyle w:val="harmonorampkt"/>
        <w:numPr>
          <w:ilvl w:val="0"/>
          <w:numId w:val="0"/>
        </w:numPr>
        <w:ind w:left="360"/>
        <w:rPr>
          <w:i/>
          <w:sz w:val="22"/>
        </w:rPr>
      </w:pPr>
      <w:r w:rsidRPr="00B76FC5">
        <w:rPr>
          <w:b/>
          <w:i/>
          <w:sz w:val="22"/>
        </w:rPr>
        <w:t>Odpowiedź:</w:t>
      </w:r>
      <w:r w:rsidRPr="00427373">
        <w:rPr>
          <w:i/>
          <w:sz w:val="22"/>
        </w:rPr>
        <w:t xml:space="preserve"> </w:t>
      </w:r>
      <w:r w:rsidR="00F67A9E" w:rsidRPr="00427373">
        <w:rPr>
          <w:i/>
          <w:sz w:val="22"/>
        </w:rPr>
        <w:t>Liczb</w:t>
      </w:r>
      <w:bookmarkStart w:id="0" w:name="_GoBack"/>
      <w:bookmarkEnd w:id="0"/>
      <w:r w:rsidR="00F67A9E" w:rsidRPr="00427373">
        <w:rPr>
          <w:i/>
          <w:sz w:val="22"/>
        </w:rPr>
        <w:t xml:space="preserve">a </w:t>
      </w:r>
      <w:r w:rsidR="00427373" w:rsidRPr="00427373">
        <w:rPr>
          <w:i/>
          <w:sz w:val="22"/>
        </w:rPr>
        <w:t xml:space="preserve">pomieszczeń </w:t>
      </w:r>
      <w:r w:rsidR="00F67A9E" w:rsidRPr="00427373">
        <w:rPr>
          <w:i/>
          <w:sz w:val="22"/>
        </w:rPr>
        <w:t xml:space="preserve">widoczna na rzucie parteru i II pietra. Na pierwszym piętrze znajduje się </w:t>
      </w:r>
      <w:r w:rsidR="00427373" w:rsidRPr="00427373">
        <w:rPr>
          <w:i/>
          <w:sz w:val="22"/>
        </w:rPr>
        <w:t>21 pomieszczeń.</w:t>
      </w:r>
    </w:p>
    <w:p w:rsidR="00844E8D" w:rsidRPr="00844E8D" w:rsidRDefault="00844E8D" w:rsidP="0064697E">
      <w:pPr>
        <w:pStyle w:val="harmonorampkt"/>
        <w:numPr>
          <w:ilvl w:val="0"/>
          <w:numId w:val="0"/>
        </w:numPr>
        <w:ind w:left="360"/>
        <w:rPr>
          <w:i/>
          <w:sz w:val="22"/>
        </w:rPr>
      </w:pPr>
      <w:r w:rsidRPr="00844E8D">
        <w:rPr>
          <w:i/>
          <w:sz w:val="22"/>
        </w:rPr>
        <w:t>W budynku znajduj</w:t>
      </w:r>
      <w:r w:rsidR="005071EF">
        <w:rPr>
          <w:i/>
          <w:sz w:val="22"/>
        </w:rPr>
        <w:t>ą</w:t>
      </w:r>
      <w:r w:rsidRPr="00844E8D">
        <w:rPr>
          <w:i/>
          <w:sz w:val="22"/>
        </w:rPr>
        <w:t xml:space="preserve"> się </w:t>
      </w:r>
      <w:r w:rsidR="005071EF">
        <w:rPr>
          <w:i/>
          <w:sz w:val="22"/>
        </w:rPr>
        <w:t>toalety: Parter – dla klientów (1 kabina) – pomieszczenie 1 szt., dla personelu (4 kabiny) – 1 szt., I piętro - męska (1 kabina) – 1 szt., damska (2 kabiny) – 1 szt.,</w:t>
      </w:r>
      <w:r w:rsidR="00F8524B">
        <w:rPr>
          <w:i/>
          <w:sz w:val="22"/>
        </w:rPr>
        <w:br/>
      </w:r>
      <w:r w:rsidR="005071EF">
        <w:rPr>
          <w:i/>
          <w:sz w:val="22"/>
        </w:rPr>
        <w:t xml:space="preserve">II piętro – męska (1 kabina) – 1 szt., damska (2 kabiny) – 1 szt., </w:t>
      </w:r>
      <w:r w:rsidR="005071EF" w:rsidRPr="005071EF">
        <w:rPr>
          <w:bCs/>
          <w:i/>
          <w:sz w:val="22"/>
        </w:rPr>
        <w:t>Centrum Edukacji Ekologicznej ,,Słupia - rzeka wiedzy</w:t>
      </w:r>
      <w:r w:rsidR="005071EF">
        <w:rPr>
          <w:bCs/>
          <w:i/>
          <w:sz w:val="22"/>
        </w:rPr>
        <w:t xml:space="preserve">” </w:t>
      </w:r>
      <w:r w:rsidR="005071EF" w:rsidRPr="005071EF">
        <w:rPr>
          <w:i/>
          <w:sz w:val="22"/>
        </w:rPr>
        <w:t xml:space="preserve"> </w:t>
      </w:r>
      <w:r w:rsidR="005071EF">
        <w:rPr>
          <w:i/>
          <w:sz w:val="22"/>
        </w:rPr>
        <w:t xml:space="preserve">– sala edukacyjna – damska (1 kabina) – 1 szt., męska (1 kabina) – 1 szt., </w:t>
      </w:r>
      <w:r w:rsidR="005071EF" w:rsidRPr="005071EF">
        <w:rPr>
          <w:bCs/>
          <w:i/>
          <w:sz w:val="22"/>
        </w:rPr>
        <w:t>Centrum Edukacji Ekologicznej ,,Słupia - rzeka wiedzy</w:t>
      </w:r>
      <w:r w:rsidR="005071EF">
        <w:rPr>
          <w:bCs/>
          <w:i/>
          <w:sz w:val="22"/>
        </w:rPr>
        <w:t xml:space="preserve"> – korytarz: damska (4 kabiny) – 1 szt., męska (4 kabiny) – 1 szt., toaleta dla osób z niepełnosprawnościami (1 kabina) – 1 </w:t>
      </w:r>
      <w:proofErr w:type="spellStart"/>
      <w:r w:rsidR="005071EF">
        <w:rPr>
          <w:bCs/>
          <w:i/>
          <w:sz w:val="22"/>
        </w:rPr>
        <w:t>szt</w:t>
      </w:r>
      <w:proofErr w:type="spellEnd"/>
      <w:r w:rsidR="007837FA">
        <w:rPr>
          <w:bCs/>
          <w:i/>
          <w:sz w:val="22"/>
        </w:rPr>
        <w:t xml:space="preserve">, łącznie </w:t>
      </w:r>
      <w:r w:rsidR="00F8524B">
        <w:rPr>
          <w:bCs/>
          <w:i/>
          <w:sz w:val="22"/>
        </w:rPr>
        <w:t>11 pomieszczeń.</w:t>
      </w:r>
    </w:p>
    <w:p w:rsidR="00662D0A" w:rsidRDefault="00662D0A" w:rsidP="00662D0A">
      <w:pPr>
        <w:pStyle w:val="harmonorampkt"/>
        <w:numPr>
          <w:ilvl w:val="0"/>
          <w:numId w:val="13"/>
        </w:numPr>
        <w:rPr>
          <w:sz w:val="22"/>
        </w:rPr>
      </w:pPr>
      <w:r w:rsidRPr="00507333">
        <w:rPr>
          <w:sz w:val="22"/>
        </w:rPr>
        <w:t>rzuty poszczególnych kondygnacji?</w:t>
      </w:r>
    </w:p>
    <w:p w:rsidR="00B77B16" w:rsidRDefault="00493219" w:rsidP="00244BEA">
      <w:pPr>
        <w:pStyle w:val="harmonorampkt"/>
        <w:numPr>
          <w:ilvl w:val="0"/>
          <w:numId w:val="0"/>
        </w:numPr>
        <w:ind w:left="360"/>
        <w:rPr>
          <w:i/>
          <w:sz w:val="22"/>
        </w:rPr>
      </w:pPr>
      <w:r w:rsidRPr="00B76FC5">
        <w:rPr>
          <w:b/>
          <w:i/>
          <w:sz w:val="22"/>
        </w:rPr>
        <w:t>Odpowiedź:</w:t>
      </w:r>
      <w:r w:rsidRPr="00244BEA">
        <w:rPr>
          <w:i/>
          <w:sz w:val="22"/>
        </w:rPr>
        <w:t xml:space="preserve"> </w:t>
      </w:r>
      <w:r w:rsidR="00244BEA" w:rsidRPr="00244BEA">
        <w:rPr>
          <w:i/>
          <w:sz w:val="22"/>
        </w:rPr>
        <w:t xml:space="preserve">Zamawiający dysponuje inwentaryzacją budynku z rzutami poszczególnych kondygnacji. W trakcie prowadzonych remontów nastąpiły zmiany rozkładu pomieszczeń i ich przeznaczenia. </w:t>
      </w:r>
      <w:r w:rsidR="00244BEA">
        <w:rPr>
          <w:i/>
          <w:sz w:val="22"/>
        </w:rPr>
        <w:t>Dlatego w</w:t>
      </w:r>
      <w:r w:rsidR="00244BEA" w:rsidRPr="00244BEA">
        <w:rPr>
          <w:i/>
          <w:sz w:val="22"/>
        </w:rPr>
        <w:t>izja lokalna jest niezbędna przy opracowywaniu projekt</w:t>
      </w:r>
      <w:r w:rsidR="00244BEA">
        <w:rPr>
          <w:i/>
          <w:sz w:val="22"/>
        </w:rPr>
        <w:t>u.</w:t>
      </w:r>
      <w:r w:rsidR="00BE205A">
        <w:rPr>
          <w:i/>
          <w:sz w:val="22"/>
        </w:rPr>
        <w:t xml:space="preserve"> </w:t>
      </w:r>
      <w:r w:rsidR="00367082">
        <w:rPr>
          <w:i/>
          <w:sz w:val="22"/>
        </w:rPr>
        <w:t>R</w:t>
      </w:r>
      <w:r w:rsidR="00BE205A">
        <w:rPr>
          <w:i/>
          <w:sz w:val="22"/>
        </w:rPr>
        <w:t>zuty którymi dysponuje Zamawiający zostały udostępnione pod adresem:</w:t>
      </w:r>
    </w:p>
    <w:p w:rsidR="00367082" w:rsidRDefault="00427373" w:rsidP="00244BEA">
      <w:pPr>
        <w:pStyle w:val="harmonorampkt"/>
        <w:numPr>
          <w:ilvl w:val="0"/>
          <w:numId w:val="0"/>
        </w:numPr>
        <w:ind w:left="360"/>
        <w:rPr>
          <w:i/>
          <w:sz w:val="22"/>
        </w:rPr>
      </w:pPr>
      <w:r w:rsidRPr="00427373">
        <w:rPr>
          <w:i/>
          <w:sz w:val="22"/>
        </w:rPr>
        <w:t>https://chmura.pomorskieparki.pl/index.php/s/CcSE2FniTbpMnkj</w:t>
      </w:r>
    </w:p>
    <w:p w:rsidR="00662D0A" w:rsidRDefault="00662D0A" w:rsidP="00662D0A">
      <w:pPr>
        <w:pStyle w:val="harmonorampkt"/>
        <w:numPr>
          <w:ilvl w:val="0"/>
          <w:numId w:val="13"/>
        </w:numPr>
        <w:rPr>
          <w:sz w:val="22"/>
        </w:rPr>
      </w:pPr>
      <w:r w:rsidRPr="00507333">
        <w:rPr>
          <w:sz w:val="22"/>
        </w:rPr>
        <w:t>plan zagospodarowania terenu (mapka zewnętrzna)?</w:t>
      </w:r>
    </w:p>
    <w:p w:rsidR="002813B3" w:rsidRDefault="00493219" w:rsidP="00244BEA">
      <w:pPr>
        <w:pStyle w:val="harmonorampkt"/>
        <w:numPr>
          <w:ilvl w:val="0"/>
          <w:numId w:val="0"/>
        </w:numPr>
        <w:ind w:left="360"/>
        <w:rPr>
          <w:i/>
          <w:sz w:val="22"/>
        </w:rPr>
      </w:pPr>
      <w:r w:rsidRPr="00B76FC5">
        <w:rPr>
          <w:b/>
          <w:i/>
          <w:sz w:val="22"/>
        </w:rPr>
        <w:t>Odpowiedź:</w:t>
      </w:r>
      <w:r w:rsidRPr="00244BEA">
        <w:rPr>
          <w:i/>
          <w:sz w:val="22"/>
        </w:rPr>
        <w:t xml:space="preserve"> </w:t>
      </w:r>
      <w:r w:rsidR="00244BEA" w:rsidRPr="00244BEA">
        <w:rPr>
          <w:i/>
          <w:sz w:val="22"/>
        </w:rPr>
        <w:t xml:space="preserve">Aby sprawdzić plan zagospodarowania przestrzennego dla działki, można skorzystać z darmowej platformy </w:t>
      </w:r>
      <w:hyperlink r:id="rId7" w:history="1">
        <w:r w:rsidR="00244BEA" w:rsidRPr="00244BEA">
          <w:rPr>
            <w:rStyle w:val="Hipercze"/>
            <w:i/>
            <w:sz w:val="22"/>
          </w:rPr>
          <w:t>Geoportal.gov.pl</w:t>
        </w:r>
      </w:hyperlink>
      <w:r w:rsidR="00244BEA" w:rsidRPr="00244BEA">
        <w:rPr>
          <w:i/>
          <w:sz w:val="22"/>
        </w:rPr>
        <w:t xml:space="preserve"> lub wejść na Biuletyn Informacji Publicznej (</w:t>
      </w:r>
      <w:proofErr w:type="spellStart"/>
      <w:r w:rsidR="00244BEA" w:rsidRPr="00244BEA">
        <w:rPr>
          <w:i/>
          <w:sz w:val="22"/>
        </w:rPr>
        <w:t>BIP</w:t>
      </w:r>
      <w:proofErr w:type="spellEnd"/>
      <w:r w:rsidR="00244BEA" w:rsidRPr="00244BEA">
        <w:rPr>
          <w:i/>
          <w:sz w:val="22"/>
        </w:rPr>
        <w:t>) urzędu gminy, w której znajduje się działka. Alternatywnie, można złożyć wniosek o wydanie wypisu i wyrysu z Miejscowego Planu Zagospodarowania Przestrzennego (</w:t>
      </w:r>
      <w:proofErr w:type="spellStart"/>
      <w:r w:rsidR="00244BEA" w:rsidRPr="00244BEA">
        <w:rPr>
          <w:i/>
          <w:sz w:val="22"/>
        </w:rPr>
        <w:t>MPZP</w:t>
      </w:r>
      <w:proofErr w:type="spellEnd"/>
      <w:r w:rsidR="00244BEA" w:rsidRPr="00244BEA">
        <w:rPr>
          <w:i/>
          <w:sz w:val="22"/>
        </w:rPr>
        <w:t xml:space="preserve">) w urzędzie gminy lub miasta. Dostępne są również komercyjne serwisy, takie jak </w:t>
      </w:r>
      <w:hyperlink r:id="rId8" w:history="1">
        <w:r w:rsidR="00244BEA" w:rsidRPr="00244BEA">
          <w:rPr>
            <w:rStyle w:val="Hipercze"/>
            <w:i/>
            <w:sz w:val="22"/>
          </w:rPr>
          <w:t>OnGeo.pl</w:t>
        </w:r>
      </w:hyperlink>
      <w:r w:rsidR="00244BEA" w:rsidRPr="00244BEA">
        <w:rPr>
          <w:i/>
          <w:sz w:val="22"/>
        </w:rPr>
        <w:t>, które oferują szczegółowe raporty o działce</w:t>
      </w:r>
      <w:r w:rsidR="00BE205A">
        <w:rPr>
          <w:i/>
          <w:sz w:val="22"/>
        </w:rPr>
        <w:t>.</w:t>
      </w:r>
      <w:r w:rsidR="00F67A9E">
        <w:rPr>
          <w:i/>
          <w:sz w:val="22"/>
        </w:rPr>
        <w:t xml:space="preserve"> </w:t>
      </w:r>
    </w:p>
    <w:p w:rsidR="00F67A9E" w:rsidRDefault="00F67A9E" w:rsidP="00F67A9E">
      <w:pPr>
        <w:pStyle w:val="harmonorampkt"/>
        <w:numPr>
          <w:ilvl w:val="0"/>
          <w:numId w:val="0"/>
        </w:numPr>
        <w:ind w:left="360"/>
        <w:rPr>
          <w:i/>
          <w:sz w:val="22"/>
        </w:rPr>
      </w:pPr>
      <w:r>
        <w:rPr>
          <w:i/>
          <w:sz w:val="22"/>
        </w:rPr>
        <w:t xml:space="preserve">Na stronie </w:t>
      </w:r>
      <w:hyperlink r:id="rId9" w:history="1">
        <w:r w:rsidRPr="005B5B64">
          <w:rPr>
            <w:rStyle w:val="Hipercze"/>
            <w:i/>
            <w:sz w:val="22"/>
          </w:rPr>
          <w:t>https://bip.um.slupsk.pl/rada_miejska/uchwaly_rady_miejskiej/28127.html</w:t>
        </w:r>
      </w:hyperlink>
      <w:r>
        <w:rPr>
          <w:i/>
          <w:sz w:val="22"/>
        </w:rPr>
        <w:br/>
      </w:r>
      <w:r w:rsidRPr="00F67A9E">
        <w:rPr>
          <w:i/>
          <w:sz w:val="22"/>
        </w:rPr>
        <w:t xml:space="preserve">znajduje się </w:t>
      </w:r>
      <w:r w:rsidRPr="00F67A9E">
        <w:rPr>
          <w:i/>
          <w:sz w:val="22"/>
        </w:rPr>
        <w:t>Uchwa</w:t>
      </w:r>
      <w:r>
        <w:rPr>
          <w:i/>
          <w:sz w:val="22"/>
        </w:rPr>
        <w:t>ła</w:t>
      </w:r>
      <w:r w:rsidRPr="00F67A9E">
        <w:rPr>
          <w:i/>
          <w:sz w:val="22"/>
        </w:rPr>
        <w:t xml:space="preserve"> Rady Miejskiej</w:t>
      </w:r>
      <w:r>
        <w:rPr>
          <w:i/>
          <w:sz w:val="22"/>
        </w:rPr>
        <w:t xml:space="preserve"> </w:t>
      </w:r>
      <w:r w:rsidRPr="00F67A9E">
        <w:rPr>
          <w:i/>
          <w:sz w:val="22"/>
        </w:rPr>
        <w:t>XLV/619/17</w:t>
      </w:r>
      <w:r>
        <w:rPr>
          <w:i/>
          <w:sz w:val="22"/>
        </w:rPr>
        <w:t xml:space="preserve"> </w:t>
      </w:r>
      <w:r w:rsidRPr="00F67A9E">
        <w:rPr>
          <w:i/>
          <w:sz w:val="22"/>
        </w:rPr>
        <w:t>w sprawie miejscowego planu zagospodarowania przestrzennego „</w:t>
      </w:r>
      <w:proofErr w:type="spellStart"/>
      <w:r w:rsidRPr="00F67A9E">
        <w:rPr>
          <w:i/>
          <w:sz w:val="22"/>
        </w:rPr>
        <w:t>Poniatowskiego-C</w:t>
      </w:r>
      <w:proofErr w:type="spellEnd"/>
      <w:r w:rsidRPr="00F67A9E">
        <w:rPr>
          <w:i/>
          <w:sz w:val="22"/>
        </w:rPr>
        <w:t>” w Słupsku</w:t>
      </w:r>
    </w:p>
    <w:p w:rsidR="00662D0A" w:rsidRPr="00507333" w:rsidRDefault="00662D0A" w:rsidP="00662D0A">
      <w:pPr>
        <w:pStyle w:val="harmonorampkt"/>
        <w:numPr>
          <w:ilvl w:val="0"/>
          <w:numId w:val="13"/>
        </w:numPr>
        <w:rPr>
          <w:sz w:val="22"/>
        </w:rPr>
      </w:pPr>
      <w:r w:rsidRPr="00507333">
        <w:rPr>
          <w:sz w:val="22"/>
        </w:rPr>
        <w:t>księgę Systemu Identyfikacji Pomorskiego Zespołu Parków Krajobrazowych</w:t>
      </w:r>
    </w:p>
    <w:p w:rsidR="00B76FC5" w:rsidRDefault="00662D0A" w:rsidP="00662D0A">
      <w:pPr>
        <w:pStyle w:val="harmonorampkt"/>
        <w:numPr>
          <w:ilvl w:val="0"/>
          <w:numId w:val="13"/>
        </w:numPr>
        <w:rPr>
          <w:sz w:val="22"/>
        </w:rPr>
        <w:sectPr w:rsidR="00B76FC5" w:rsidSect="00CD5CBD">
          <w:headerReference w:type="default" r:id="rId10"/>
          <w:pgSz w:w="11906" w:h="16838"/>
          <w:pgMar w:top="1417" w:right="1417" w:bottom="142" w:left="1417" w:header="708" w:footer="708" w:gutter="0"/>
          <w:cols w:space="708"/>
          <w:docGrid w:linePitch="360"/>
        </w:sectPr>
      </w:pPr>
      <w:r w:rsidRPr="00507333">
        <w:rPr>
          <w:sz w:val="22"/>
        </w:rPr>
        <w:t>księgę Systemu Wizualizacji Województwa Pomorskiego?</w:t>
      </w:r>
    </w:p>
    <w:p w:rsidR="00EF1E18" w:rsidRDefault="00493219" w:rsidP="0064697E">
      <w:pPr>
        <w:pStyle w:val="harmonorampkt"/>
        <w:numPr>
          <w:ilvl w:val="0"/>
          <w:numId w:val="0"/>
        </w:numPr>
        <w:ind w:firstLine="360"/>
        <w:rPr>
          <w:i/>
          <w:sz w:val="22"/>
        </w:rPr>
      </w:pPr>
      <w:r w:rsidRPr="00B76FC5">
        <w:rPr>
          <w:b/>
          <w:i/>
          <w:sz w:val="22"/>
        </w:rPr>
        <w:lastRenderedPageBreak/>
        <w:t>Odpowiedź:</w:t>
      </w:r>
      <w:r w:rsidRPr="0064697E">
        <w:rPr>
          <w:i/>
          <w:sz w:val="22"/>
        </w:rPr>
        <w:t xml:space="preserve"> </w:t>
      </w:r>
      <w:r w:rsidR="002813B3" w:rsidRPr="0064697E">
        <w:rPr>
          <w:i/>
          <w:sz w:val="22"/>
        </w:rPr>
        <w:t>księgi dostępne pod adresem</w:t>
      </w:r>
      <w:r w:rsidR="00EF1E18">
        <w:rPr>
          <w:i/>
          <w:sz w:val="22"/>
        </w:rPr>
        <w:t>:</w:t>
      </w:r>
    </w:p>
    <w:p w:rsidR="002813B3" w:rsidRDefault="00EF1E18" w:rsidP="0064697E">
      <w:pPr>
        <w:pStyle w:val="harmonorampkt"/>
        <w:numPr>
          <w:ilvl w:val="0"/>
          <w:numId w:val="0"/>
        </w:numPr>
        <w:ind w:firstLine="360"/>
        <w:rPr>
          <w:i/>
          <w:sz w:val="22"/>
        </w:rPr>
      </w:pPr>
      <w:r w:rsidRPr="00EF1E18">
        <w:rPr>
          <w:i/>
          <w:sz w:val="22"/>
        </w:rPr>
        <w:t>https://pomorskieparki.pl/files/site-pzpk/download/29224/KsiegaSGIW_PZPKwS.pdf</w:t>
      </w:r>
      <w:r w:rsidR="004F5F77">
        <w:rPr>
          <w:i/>
          <w:sz w:val="22"/>
        </w:rPr>
        <w:t xml:space="preserve"> </w:t>
      </w:r>
    </w:p>
    <w:p w:rsidR="00EF1E18" w:rsidRPr="00EF1E18" w:rsidRDefault="00EF1E18" w:rsidP="0064697E">
      <w:pPr>
        <w:pStyle w:val="harmonorampkt"/>
        <w:numPr>
          <w:ilvl w:val="0"/>
          <w:numId w:val="0"/>
        </w:numPr>
        <w:ind w:firstLine="360"/>
        <w:rPr>
          <w:i/>
          <w:sz w:val="22"/>
        </w:rPr>
      </w:pPr>
      <w:r w:rsidRPr="00EF1E18">
        <w:rPr>
          <w:i/>
          <w:sz w:val="22"/>
        </w:rPr>
        <w:t>https://bip.pomorskie.eu/m,31,herb-i-znak-promocyjny-wojewodztwa-pomorskiego.html</w:t>
      </w:r>
    </w:p>
    <w:p w:rsidR="0064697E" w:rsidRPr="001D0BF1" w:rsidRDefault="0064697E" w:rsidP="00044FA3">
      <w:pPr>
        <w:pStyle w:val="Nagwek1"/>
      </w:pPr>
      <w:r w:rsidRPr="00044FA3">
        <w:t>Pytanie</w:t>
      </w:r>
      <w:r w:rsidRPr="001D0BF1">
        <w:t xml:space="preserve"> 3</w:t>
      </w:r>
    </w:p>
    <w:p w:rsidR="00662D0A" w:rsidRPr="00662D0A" w:rsidRDefault="00662D0A" w:rsidP="00507333">
      <w:r w:rsidRPr="00662D0A">
        <w:t xml:space="preserve">Czy w budynku planowane są jakieś remonty? Malowanie ścian? </w:t>
      </w:r>
    </w:p>
    <w:p w:rsidR="00662D0A" w:rsidRDefault="00662D0A" w:rsidP="00507333">
      <w:r w:rsidRPr="00662D0A">
        <w:t>Zwracam tu uwagę, że przy pracach w budynku, w którym jest istniejące oznakowanie wymagające zmiany, powstaje problem ze śladami po demontażu starego oznakowania. Opcją jest montaż nowego oznakowania w tym samym miejscu,  o tych samych bądź większych rozmiarach. Nie zawsze jest to jednak dobre rozwiązanie.</w:t>
      </w:r>
    </w:p>
    <w:p w:rsidR="002813B3" w:rsidRPr="001D0BF1" w:rsidRDefault="00493219" w:rsidP="0064697E">
      <w:pPr>
        <w:ind w:left="708"/>
        <w:rPr>
          <w:i/>
          <w:color w:val="C00000"/>
        </w:rPr>
      </w:pPr>
      <w:r w:rsidRPr="00B76FC5">
        <w:rPr>
          <w:b/>
          <w:i/>
          <w:color w:val="000000" w:themeColor="text1"/>
        </w:rPr>
        <w:t>Odpowiedź:</w:t>
      </w:r>
      <w:r w:rsidRPr="0064697E">
        <w:rPr>
          <w:i/>
          <w:color w:val="000000" w:themeColor="text1"/>
        </w:rPr>
        <w:t xml:space="preserve"> </w:t>
      </w:r>
      <w:r w:rsidR="002813B3" w:rsidRPr="0064697E">
        <w:rPr>
          <w:i/>
          <w:color w:val="000000" w:themeColor="text1"/>
        </w:rPr>
        <w:t>Zamawiający nie planuje remontów poza</w:t>
      </w:r>
      <w:r w:rsidR="00367082">
        <w:rPr>
          <w:i/>
          <w:color w:val="000000" w:themeColor="text1"/>
        </w:rPr>
        <w:t xml:space="preserve"> wymianą</w:t>
      </w:r>
      <w:r w:rsidR="002813B3" w:rsidRPr="0064697E">
        <w:rPr>
          <w:i/>
          <w:color w:val="000000" w:themeColor="text1"/>
        </w:rPr>
        <w:t xml:space="preserve"> </w:t>
      </w:r>
      <w:r w:rsidR="00367082">
        <w:rPr>
          <w:i/>
          <w:color w:val="000000" w:themeColor="text1"/>
        </w:rPr>
        <w:t>balustrad</w:t>
      </w:r>
      <w:r w:rsidR="002813B3" w:rsidRPr="0064697E">
        <w:rPr>
          <w:i/>
          <w:color w:val="000000" w:themeColor="text1"/>
        </w:rPr>
        <w:t xml:space="preserve"> na klatce schodowej</w:t>
      </w:r>
      <w:r w:rsidR="00133C37">
        <w:rPr>
          <w:i/>
          <w:color w:val="000000" w:themeColor="text1"/>
        </w:rPr>
        <w:t xml:space="preserve"> w bieżącym roku</w:t>
      </w:r>
      <w:r w:rsidR="002813B3" w:rsidRPr="0064697E">
        <w:rPr>
          <w:i/>
          <w:color w:val="000000" w:themeColor="text1"/>
        </w:rPr>
        <w:t>.</w:t>
      </w:r>
    </w:p>
    <w:p w:rsidR="0064697E" w:rsidRPr="001D0BF1" w:rsidRDefault="0064697E" w:rsidP="00044FA3">
      <w:pPr>
        <w:pStyle w:val="Nagwek1"/>
      </w:pPr>
      <w:r w:rsidRPr="00044FA3">
        <w:t>Pytanie</w:t>
      </w:r>
      <w:r w:rsidRPr="001D0BF1">
        <w:t xml:space="preserve"> 4</w:t>
      </w:r>
    </w:p>
    <w:p w:rsidR="00662D0A" w:rsidRDefault="00662D0A" w:rsidP="00507333">
      <w:r w:rsidRPr="00662D0A">
        <w:t>Czy planowane są jakieś dodatkowe napisy, elementy (np. podświetlane) na elewacji?</w:t>
      </w:r>
    </w:p>
    <w:p w:rsidR="002813B3" w:rsidRPr="001D0BF1" w:rsidRDefault="00493219" w:rsidP="0064697E">
      <w:pPr>
        <w:ind w:left="708"/>
        <w:rPr>
          <w:color w:val="C00000"/>
        </w:rPr>
      </w:pPr>
      <w:r w:rsidRPr="00A64655">
        <w:rPr>
          <w:b/>
          <w:i/>
          <w:color w:val="000000" w:themeColor="text1"/>
        </w:rPr>
        <w:t>Odpowiedź:</w:t>
      </w:r>
      <w:r w:rsidRPr="0064697E">
        <w:rPr>
          <w:i/>
          <w:color w:val="000000" w:themeColor="text1"/>
        </w:rPr>
        <w:t xml:space="preserve"> </w:t>
      </w:r>
      <w:r w:rsidR="002813B3" w:rsidRPr="0064697E">
        <w:rPr>
          <w:i/>
          <w:color w:val="000000" w:themeColor="text1"/>
        </w:rPr>
        <w:t>Zamawiającemu zależy na utrzymaniu estetyki obiektu, dopuszcza się montaż dodatkowych napisów wynikających z projektu. Nie preferuje się elementów świecących i podświetlanych.</w:t>
      </w:r>
    </w:p>
    <w:p w:rsidR="0064697E" w:rsidRPr="0064697E" w:rsidRDefault="0064697E" w:rsidP="00044FA3">
      <w:pPr>
        <w:pStyle w:val="Nagwek1"/>
      </w:pPr>
      <w:r w:rsidRPr="00044FA3">
        <w:t>Pytanie</w:t>
      </w:r>
      <w:r w:rsidRPr="0064697E">
        <w:t xml:space="preserve"> 5</w:t>
      </w:r>
    </w:p>
    <w:p w:rsidR="00662D0A" w:rsidRPr="00662D0A" w:rsidRDefault="00662D0A" w:rsidP="00507333">
      <w:r w:rsidRPr="00662D0A">
        <w:t>Jeśli chodzi o elementy oznakowania – bardzo prosimy o weryfikację zakresu:</w:t>
      </w:r>
    </w:p>
    <w:p w:rsidR="00662D0A" w:rsidRPr="00A64655" w:rsidRDefault="00662D0A" w:rsidP="00662D0A">
      <w:r w:rsidRPr="00A64655">
        <w:rPr>
          <w:bCs/>
        </w:rPr>
        <w:t>Oznakowanie zewnętrzne:</w:t>
      </w:r>
    </w:p>
    <w:p w:rsidR="00662D0A" w:rsidRDefault="00662D0A" w:rsidP="00662D0A">
      <w:r w:rsidRPr="00662D0A">
        <w:t>a/ tablice kierunkowe (konstrukcje wolnostojące, trwale związane z gruntem)</w:t>
      </w:r>
    </w:p>
    <w:p w:rsidR="002813B3" w:rsidRPr="001D0BF1" w:rsidRDefault="00493219" w:rsidP="0064697E">
      <w:pPr>
        <w:ind w:left="708"/>
        <w:rPr>
          <w:i/>
          <w:color w:val="C00000"/>
        </w:rPr>
      </w:pPr>
      <w:r w:rsidRPr="00A64655">
        <w:rPr>
          <w:b/>
          <w:i/>
          <w:color w:val="000000" w:themeColor="text1"/>
        </w:rPr>
        <w:t>Odpowiedź:</w:t>
      </w:r>
      <w:r w:rsidRPr="0064697E">
        <w:rPr>
          <w:i/>
          <w:color w:val="000000" w:themeColor="text1"/>
        </w:rPr>
        <w:t xml:space="preserve"> </w:t>
      </w:r>
      <w:r w:rsidR="002813B3" w:rsidRPr="0064697E">
        <w:rPr>
          <w:i/>
          <w:color w:val="000000" w:themeColor="text1"/>
        </w:rPr>
        <w:t xml:space="preserve">Zamawiającemu zależy na utrzymaniu przejść w korytarzach więc tablice wolnostojące w </w:t>
      </w:r>
      <w:r w:rsidRPr="0064697E">
        <w:rPr>
          <w:i/>
          <w:color w:val="000000" w:themeColor="text1"/>
        </w:rPr>
        <w:t>pomieszczeniach nie są preferowane. Jeżeli chodzi o tablice na zewnątrz można rozważyć takie rozwiązanie w ilości niezbędnej do wskazania kierunku poruszania się itp.</w:t>
      </w:r>
    </w:p>
    <w:p w:rsidR="00662D0A" w:rsidRDefault="00662D0A" w:rsidP="00662D0A">
      <w:r w:rsidRPr="00662D0A">
        <w:t>b/ pylony – są droższą, bardziej ekskluzywną formą oznakowania zewnętrznego</w:t>
      </w:r>
    </w:p>
    <w:p w:rsidR="00493219" w:rsidRPr="001D0BF1" w:rsidRDefault="00493219" w:rsidP="0064697E">
      <w:pPr>
        <w:ind w:firstLine="708"/>
        <w:rPr>
          <w:color w:val="C00000"/>
        </w:rPr>
      </w:pPr>
      <w:r w:rsidRPr="00A64655">
        <w:rPr>
          <w:b/>
          <w:i/>
          <w:color w:val="000000" w:themeColor="text1"/>
        </w:rPr>
        <w:t>Odpowiedź:</w:t>
      </w:r>
      <w:r w:rsidRPr="0064697E">
        <w:rPr>
          <w:i/>
          <w:color w:val="000000" w:themeColor="text1"/>
        </w:rPr>
        <w:t xml:space="preserve"> Nie preferuje się takiego rozwiązania</w:t>
      </w:r>
    </w:p>
    <w:p w:rsidR="00662D0A" w:rsidRDefault="00662D0A" w:rsidP="00662D0A">
      <w:r w:rsidRPr="00662D0A">
        <w:t>c/ oznakowanie wejść</w:t>
      </w:r>
    </w:p>
    <w:p w:rsidR="00493219" w:rsidRPr="0064697E" w:rsidRDefault="00493219" w:rsidP="0064697E">
      <w:pPr>
        <w:ind w:firstLine="708"/>
        <w:rPr>
          <w:color w:val="C00000"/>
        </w:rPr>
      </w:pPr>
      <w:r w:rsidRPr="00A64655">
        <w:rPr>
          <w:b/>
          <w:i/>
          <w:color w:val="000000" w:themeColor="text1"/>
        </w:rPr>
        <w:t>Odpowiedź:</w:t>
      </w:r>
      <w:r w:rsidRPr="0064697E">
        <w:rPr>
          <w:i/>
          <w:color w:val="000000" w:themeColor="text1"/>
        </w:rPr>
        <w:t xml:space="preserve"> W celu zwiększenia czytelności w nawigacji – dopuszcza się takie rozwiązanie</w:t>
      </w:r>
    </w:p>
    <w:p w:rsidR="00662D0A" w:rsidRPr="00A64655" w:rsidRDefault="00662D0A" w:rsidP="00662D0A">
      <w:r w:rsidRPr="00A64655">
        <w:t> </w:t>
      </w:r>
      <w:r w:rsidRPr="00A64655">
        <w:rPr>
          <w:bCs/>
        </w:rPr>
        <w:t>Oznakowanie wewnętrzne:</w:t>
      </w:r>
    </w:p>
    <w:p w:rsidR="00662D0A" w:rsidRDefault="00662D0A" w:rsidP="00662D0A">
      <w:r w:rsidRPr="00662D0A">
        <w:t>a/ tablica główna, spis jednostek</w:t>
      </w:r>
    </w:p>
    <w:p w:rsidR="00493219" w:rsidRPr="0064697E" w:rsidRDefault="00493219" w:rsidP="0064697E">
      <w:pPr>
        <w:ind w:firstLine="708"/>
        <w:rPr>
          <w:color w:val="C00000"/>
        </w:rPr>
      </w:pPr>
      <w:r w:rsidRPr="00A64655">
        <w:rPr>
          <w:b/>
          <w:i/>
          <w:color w:val="000000" w:themeColor="text1"/>
        </w:rPr>
        <w:t>Odpowiedź:</w:t>
      </w:r>
      <w:r w:rsidRPr="0064697E">
        <w:rPr>
          <w:i/>
          <w:color w:val="000000" w:themeColor="text1"/>
        </w:rPr>
        <w:t xml:space="preserve"> tak</w:t>
      </w:r>
    </w:p>
    <w:p w:rsidR="00662D0A" w:rsidRDefault="00662D0A" w:rsidP="00662D0A">
      <w:r w:rsidRPr="00662D0A">
        <w:t>b/ oznakowanie wejść do poszczególnych jednostek</w:t>
      </w:r>
    </w:p>
    <w:p w:rsidR="00493219" w:rsidRPr="0064697E" w:rsidRDefault="00493219" w:rsidP="0064697E">
      <w:pPr>
        <w:ind w:firstLine="708"/>
        <w:rPr>
          <w:color w:val="C00000"/>
        </w:rPr>
      </w:pPr>
      <w:r w:rsidRPr="00A64655">
        <w:rPr>
          <w:b/>
          <w:i/>
          <w:color w:val="000000" w:themeColor="text1"/>
        </w:rPr>
        <w:t>Odpowiedź:</w:t>
      </w:r>
      <w:r w:rsidRPr="0064697E">
        <w:rPr>
          <w:i/>
          <w:color w:val="000000" w:themeColor="text1"/>
        </w:rPr>
        <w:t xml:space="preserve"> tak</w:t>
      </w:r>
    </w:p>
    <w:p w:rsidR="00662D0A" w:rsidRDefault="00662D0A" w:rsidP="00662D0A">
      <w:r w:rsidRPr="00662D0A">
        <w:t>c/ oznakowanie kondygnacji</w:t>
      </w:r>
    </w:p>
    <w:p w:rsidR="00A64655" w:rsidRDefault="00493219" w:rsidP="0064697E">
      <w:pPr>
        <w:ind w:firstLine="708"/>
        <w:rPr>
          <w:i/>
          <w:color w:val="000000" w:themeColor="text1"/>
        </w:rPr>
        <w:sectPr w:rsidR="00A64655" w:rsidSect="00CD5CBD">
          <w:pgSz w:w="11906" w:h="16838"/>
          <w:pgMar w:top="1417" w:right="1417" w:bottom="142" w:left="1417" w:header="708" w:footer="708" w:gutter="0"/>
          <w:cols w:space="708"/>
          <w:docGrid w:linePitch="360"/>
        </w:sectPr>
      </w:pPr>
      <w:r w:rsidRPr="00A64655">
        <w:rPr>
          <w:b/>
          <w:i/>
          <w:color w:val="000000" w:themeColor="text1"/>
        </w:rPr>
        <w:t>Odpowiedź:</w:t>
      </w:r>
      <w:r w:rsidRPr="0064697E">
        <w:rPr>
          <w:i/>
          <w:color w:val="000000" w:themeColor="text1"/>
        </w:rPr>
        <w:t xml:space="preserve"> tak</w:t>
      </w:r>
    </w:p>
    <w:p w:rsidR="00493219" w:rsidRPr="0064697E" w:rsidRDefault="00493219" w:rsidP="0064697E">
      <w:pPr>
        <w:ind w:firstLine="708"/>
        <w:rPr>
          <w:color w:val="C00000"/>
        </w:rPr>
      </w:pPr>
    </w:p>
    <w:p w:rsidR="00662D0A" w:rsidRDefault="00662D0A" w:rsidP="00662D0A">
      <w:r w:rsidRPr="00662D0A">
        <w:t xml:space="preserve">d/ oznakowanie pomieszczeń – tabliczka </w:t>
      </w:r>
      <w:proofErr w:type="spellStart"/>
      <w:r w:rsidRPr="00662D0A">
        <w:t>przydrzwiowa</w:t>
      </w:r>
      <w:proofErr w:type="spellEnd"/>
      <w:r w:rsidRPr="00662D0A">
        <w:t xml:space="preserve"> – czy wszystkie tabliczki mają mieć możliwość wymiennej treści?</w:t>
      </w:r>
    </w:p>
    <w:p w:rsidR="00493219" w:rsidRPr="0064697E" w:rsidRDefault="00493219" w:rsidP="0064697E">
      <w:pPr>
        <w:ind w:firstLine="708"/>
        <w:rPr>
          <w:color w:val="C00000"/>
        </w:rPr>
      </w:pPr>
      <w:r w:rsidRPr="00A64655">
        <w:rPr>
          <w:b/>
          <w:i/>
          <w:color w:val="000000" w:themeColor="text1"/>
        </w:rPr>
        <w:t>Odpowiedź:</w:t>
      </w:r>
      <w:r w:rsidRPr="0064697E">
        <w:rPr>
          <w:i/>
          <w:color w:val="000000" w:themeColor="text1"/>
        </w:rPr>
        <w:t xml:space="preserve"> tak</w:t>
      </w:r>
    </w:p>
    <w:p w:rsidR="00662D0A" w:rsidRDefault="00662D0A" w:rsidP="00662D0A">
      <w:r w:rsidRPr="00662D0A">
        <w:t xml:space="preserve">e/ tabliczki z opisem w alfabecie </w:t>
      </w:r>
      <w:proofErr w:type="spellStart"/>
      <w:r w:rsidRPr="00662D0A">
        <w:t>braille’a</w:t>
      </w:r>
      <w:proofErr w:type="spellEnd"/>
      <w:r w:rsidRPr="00662D0A">
        <w:t xml:space="preserve">  - przy każdym pomieszczeniu</w:t>
      </w:r>
    </w:p>
    <w:p w:rsidR="00493219" w:rsidRPr="0064697E" w:rsidRDefault="00493219" w:rsidP="0064697E">
      <w:pPr>
        <w:ind w:firstLine="708"/>
        <w:rPr>
          <w:color w:val="C00000"/>
        </w:rPr>
      </w:pPr>
      <w:r w:rsidRPr="00A64655">
        <w:rPr>
          <w:b/>
          <w:i/>
          <w:color w:val="000000" w:themeColor="text1"/>
        </w:rPr>
        <w:t>Odpowiedź:</w:t>
      </w:r>
      <w:r w:rsidRPr="0064697E">
        <w:rPr>
          <w:i/>
          <w:color w:val="000000" w:themeColor="text1"/>
        </w:rPr>
        <w:t xml:space="preserve"> tak, mogą to być </w:t>
      </w:r>
      <w:r w:rsidR="0064697E" w:rsidRPr="0064697E">
        <w:rPr>
          <w:i/>
          <w:color w:val="000000" w:themeColor="text1"/>
        </w:rPr>
        <w:t xml:space="preserve">również </w:t>
      </w:r>
      <w:r w:rsidRPr="0064697E">
        <w:rPr>
          <w:i/>
          <w:color w:val="000000" w:themeColor="text1"/>
        </w:rPr>
        <w:t xml:space="preserve">tabliczki </w:t>
      </w:r>
      <w:r w:rsidR="00CD5CBD" w:rsidRPr="0064697E">
        <w:rPr>
          <w:i/>
          <w:color w:val="000000" w:themeColor="text1"/>
        </w:rPr>
        <w:t>nad klamkami</w:t>
      </w:r>
    </w:p>
    <w:p w:rsidR="00662D0A" w:rsidRDefault="00662D0A" w:rsidP="00662D0A">
      <w:r w:rsidRPr="00662D0A">
        <w:t xml:space="preserve">f/ nakładka na poręczy – alfabet </w:t>
      </w:r>
      <w:proofErr w:type="spellStart"/>
      <w:r w:rsidRPr="00662D0A">
        <w:t>braille’a</w:t>
      </w:r>
      <w:proofErr w:type="spellEnd"/>
    </w:p>
    <w:p w:rsidR="00CD5CBD" w:rsidRPr="0064697E" w:rsidRDefault="00CD5CBD" w:rsidP="0064697E">
      <w:pPr>
        <w:ind w:left="708"/>
        <w:rPr>
          <w:color w:val="000000" w:themeColor="text1"/>
        </w:rPr>
      </w:pPr>
      <w:r w:rsidRPr="00A64655">
        <w:rPr>
          <w:b/>
          <w:i/>
          <w:color w:val="000000" w:themeColor="text1"/>
        </w:rPr>
        <w:t>Odpowiedź:</w:t>
      </w:r>
      <w:r w:rsidRPr="0064697E">
        <w:rPr>
          <w:i/>
          <w:color w:val="000000" w:themeColor="text1"/>
        </w:rPr>
        <w:t xml:space="preserve"> Rozdz. IV pkt 4 f – należy zaproponować o jakiej treści i ile ma być oznaczeń, a nie je wykonać. Oznaczenia maja być częścią projektu. Zamawiający wykona je odrębnie.</w:t>
      </w:r>
    </w:p>
    <w:p w:rsidR="00662D0A" w:rsidRDefault="00662D0A" w:rsidP="00662D0A">
      <w:r w:rsidRPr="00662D0A">
        <w:t>g/ piktogramy – wyróżniki dla miejsc np. toaleta</w:t>
      </w:r>
    </w:p>
    <w:p w:rsidR="00CD5CBD" w:rsidRPr="0064697E" w:rsidRDefault="00CD5CBD" w:rsidP="0064697E">
      <w:pPr>
        <w:ind w:firstLine="708"/>
        <w:rPr>
          <w:color w:val="C00000"/>
        </w:rPr>
      </w:pPr>
      <w:r w:rsidRPr="00A64655">
        <w:rPr>
          <w:b/>
          <w:i/>
          <w:color w:val="000000" w:themeColor="text1"/>
        </w:rPr>
        <w:t>Odpowiedź:</w:t>
      </w:r>
      <w:r w:rsidRPr="0064697E">
        <w:rPr>
          <w:i/>
          <w:color w:val="000000" w:themeColor="text1"/>
        </w:rPr>
        <w:t xml:space="preserve"> tak</w:t>
      </w:r>
    </w:p>
    <w:p w:rsidR="00662D0A" w:rsidRDefault="00662D0A" w:rsidP="00662D0A">
      <w:r w:rsidRPr="00662D0A">
        <w:t>h/ semafory – wyróżniki dla miejsc, np. toaleta</w:t>
      </w:r>
    </w:p>
    <w:p w:rsidR="00A64655" w:rsidRDefault="00CD5CBD" w:rsidP="00A64655">
      <w:pPr>
        <w:ind w:firstLine="708"/>
        <w:rPr>
          <w:i/>
          <w:color w:val="000000" w:themeColor="text1"/>
        </w:rPr>
      </w:pPr>
      <w:r w:rsidRPr="00A64655">
        <w:rPr>
          <w:b/>
          <w:i/>
          <w:color w:val="000000" w:themeColor="text1"/>
        </w:rPr>
        <w:t>Odpowiedź:</w:t>
      </w:r>
      <w:r w:rsidRPr="0064697E">
        <w:rPr>
          <w:i/>
          <w:color w:val="000000" w:themeColor="text1"/>
        </w:rPr>
        <w:t xml:space="preserve"> tak</w:t>
      </w:r>
    </w:p>
    <w:p w:rsidR="00662D0A" w:rsidRDefault="00662D0A" w:rsidP="00A64655">
      <w:r w:rsidRPr="00662D0A">
        <w:t>i/ tablice kierunkowe naścienne lub podwieszane.</w:t>
      </w:r>
    </w:p>
    <w:p w:rsidR="00CD5CBD" w:rsidRPr="0064697E" w:rsidRDefault="00CD5CBD" w:rsidP="0064697E">
      <w:pPr>
        <w:ind w:firstLine="708"/>
        <w:rPr>
          <w:i/>
          <w:color w:val="C00000"/>
        </w:rPr>
      </w:pPr>
      <w:r w:rsidRPr="00A64655">
        <w:rPr>
          <w:b/>
          <w:i/>
          <w:color w:val="000000" w:themeColor="text1"/>
        </w:rPr>
        <w:t>Odpowiedź:</w:t>
      </w:r>
      <w:r w:rsidRPr="0064697E">
        <w:rPr>
          <w:i/>
          <w:color w:val="000000" w:themeColor="text1"/>
        </w:rPr>
        <w:t xml:space="preserve"> tak</w:t>
      </w:r>
    </w:p>
    <w:p w:rsidR="00CD5CBD" w:rsidRPr="00CD5CBD" w:rsidRDefault="00CD5CBD" w:rsidP="00662D0A">
      <w:pPr>
        <w:rPr>
          <w:i/>
        </w:rPr>
      </w:pPr>
      <w:r w:rsidRPr="00CD5CBD">
        <w:rPr>
          <w:i/>
        </w:rPr>
        <w:t xml:space="preserve">Jednocześnie </w:t>
      </w:r>
      <w:r>
        <w:rPr>
          <w:i/>
        </w:rPr>
        <w:t>Z</w:t>
      </w:r>
      <w:r w:rsidRPr="00CD5CBD">
        <w:rPr>
          <w:i/>
        </w:rPr>
        <w:t>amawiający informuje, że nie wszystkie rozwiązania muszą być wykorzystane, jak i nie wszystkie rozwiązania da się przewidzieć na tym etapie, powinny być ujęte w projekcie po wykonanej wizji w siedzibie urzędu.</w:t>
      </w:r>
    </w:p>
    <w:p w:rsidR="00662D0A" w:rsidRPr="0064697E" w:rsidRDefault="00507333" w:rsidP="00044FA3">
      <w:pPr>
        <w:pStyle w:val="Nagwek1"/>
      </w:pPr>
      <w:r w:rsidRPr="00044FA3">
        <w:t>Pytanie</w:t>
      </w:r>
      <w:r w:rsidRPr="0064697E">
        <w:t xml:space="preserve"> </w:t>
      </w:r>
      <w:r w:rsidR="0064697E">
        <w:t>6</w:t>
      </w:r>
    </w:p>
    <w:p w:rsidR="00662D0A" w:rsidRDefault="00662D0A" w:rsidP="00507333">
      <w:r w:rsidRPr="00662D0A">
        <w:t>Czy w ramach projektu należy zaprojektować elementy dekoracyjne (fototapety, obrazy?)</w:t>
      </w:r>
    </w:p>
    <w:p w:rsidR="00CD5CBD" w:rsidRPr="00662D0A" w:rsidRDefault="00CD5CBD" w:rsidP="0064697E">
      <w:pPr>
        <w:ind w:left="708"/>
      </w:pPr>
      <w:r w:rsidRPr="00A64655">
        <w:rPr>
          <w:b/>
          <w:i/>
        </w:rPr>
        <w:t>Odpowiedź:</w:t>
      </w:r>
      <w:r>
        <w:rPr>
          <w:i/>
        </w:rPr>
        <w:t xml:space="preserve"> Zamawiający nie przewiduje tego typu rozwiązań, ale jest otwarty na propozycje pozwalające odróżnić 3 instytucje od siebie za pomocą innych elementów, np. koloru oznakowania.</w:t>
      </w:r>
    </w:p>
    <w:p w:rsidR="00162D4A" w:rsidRDefault="00162D4A"/>
    <w:sectPr w:rsidR="00162D4A" w:rsidSect="00CD5CB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D0A" w:rsidRDefault="00662D0A" w:rsidP="00662D0A">
      <w:pPr>
        <w:spacing w:after="0" w:line="240" w:lineRule="auto"/>
      </w:pPr>
      <w:r>
        <w:separator/>
      </w:r>
    </w:p>
  </w:endnote>
  <w:endnote w:type="continuationSeparator" w:id="0">
    <w:p w:rsidR="00662D0A" w:rsidRDefault="00662D0A" w:rsidP="00662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D0A" w:rsidRDefault="00662D0A" w:rsidP="00662D0A">
      <w:pPr>
        <w:spacing w:after="0" w:line="240" w:lineRule="auto"/>
      </w:pPr>
      <w:r>
        <w:separator/>
      </w:r>
    </w:p>
  </w:footnote>
  <w:footnote w:type="continuationSeparator" w:id="0">
    <w:p w:rsidR="00662D0A" w:rsidRDefault="00662D0A" w:rsidP="00662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D0A" w:rsidRDefault="00662D0A">
    <w:pPr>
      <w:pStyle w:val="Nagwek"/>
    </w:pPr>
    <w:r>
      <w:rPr>
        <w:noProof/>
      </w:rPr>
      <w:drawing>
        <wp:inline distT="114300" distB="114300" distL="114300" distR="114300" wp14:anchorId="6811A4B3" wp14:editId="07E85447">
          <wp:extent cx="2935543" cy="360000"/>
          <wp:effectExtent l="0" t="0" r="0" b="0"/>
          <wp:docPr id="3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701" t="25839" r="5135" b="25883"/>
                  <a:stretch>
                    <a:fillRect/>
                  </a:stretch>
                </pic:blipFill>
                <pic:spPr>
                  <a:xfrm>
                    <a:off x="0" y="0"/>
                    <a:ext cx="2935543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C2DF4"/>
    <w:multiLevelType w:val="multilevel"/>
    <w:tmpl w:val="29E0CDB2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lowerLetter"/>
      <w:suff w:val="space"/>
      <w:lvlText w:val="%2)"/>
      <w:lvlJc w:val="left"/>
      <w:pPr>
        <w:ind w:left="964" w:hanging="454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3130" w:hanging="3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55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9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05" w:hanging="39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30" w:hanging="39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255" w:hanging="39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480" w:hanging="396"/>
      </w:pPr>
      <w:rPr>
        <w:rFonts w:hint="default"/>
      </w:rPr>
    </w:lvl>
  </w:abstractNum>
  <w:abstractNum w:abstractNumId="1" w15:restartNumberingAfterBreak="0">
    <w:nsid w:val="1CD67A1B"/>
    <w:multiLevelType w:val="multilevel"/>
    <w:tmpl w:val="43FED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01A0A"/>
    <w:multiLevelType w:val="multilevel"/>
    <w:tmpl w:val="9DB8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podpunktmay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42236"/>
    <w:multiLevelType w:val="multilevel"/>
    <w:tmpl w:val="6E74B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E54E7"/>
    <w:multiLevelType w:val="multilevel"/>
    <w:tmpl w:val="E8AEDD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1A008D"/>
    <w:multiLevelType w:val="hybridMultilevel"/>
    <w:tmpl w:val="E4846254"/>
    <w:lvl w:ilvl="0" w:tplc="C3C6FC20">
      <w:start w:val="1"/>
      <w:numFmt w:val="bullet"/>
      <w:pStyle w:val="podpunktkropkawciety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A892F35"/>
    <w:multiLevelType w:val="multilevel"/>
    <w:tmpl w:val="6AA0F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9A2EC9"/>
    <w:multiLevelType w:val="multilevel"/>
    <w:tmpl w:val="FCAC1A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D62EAE"/>
    <w:multiLevelType w:val="hybridMultilevel"/>
    <w:tmpl w:val="AB509746"/>
    <w:lvl w:ilvl="0" w:tplc="08AC11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4"/>
      </w:rPr>
    </w:lvl>
    <w:lvl w:ilvl="1" w:tplc="DFB23D4A">
      <w:numFmt w:val="bullet"/>
      <w:pStyle w:val="Akapitzlis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63E01"/>
    <w:multiLevelType w:val="multilevel"/>
    <w:tmpl w:val="E690CB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065C8B"/>
    <w:multiLevelType w:val="multilevel"/>
    <w:tmpl w:val="3B8836AA"/>
    <w:lvl w:ilvl="0">
      <w:start w:val="1"/>
      <w:numFmt w:val="decimal"/>
      <w:pStyle w:val="harmonorampkt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7AA126C"/>
    <w:multiLevelType w:val="multilevel"/>
    <w:tmpl w:val="CD98B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DB50BB"/>
    <w:multiLevelType w:val="multilevel"/>
    <w:tmpl w:val="91389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4"/>
        </w:tabs>
        <w:ind w:left="340" w:hanging="3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7FD2600E"/>
    <w:multiLevelType w:val="multilevel"/>
    <w:tmpl w:val="B9661DF4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12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11"/>
  </w:num>
  <w:num w:numId="10">
    <w:abstractNumId w:val="9"/>
  </w:num>
  <w:num w:numId="11">
    <w:abstractNumId w:val="7"/>
  </w:num>
  <w:num w:numId="12">
    <w:abstractNumId w:val="4"/>
  </w:num>
  <w:num w:numId="13">
    <w:abstractNumId w:val="13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0A"/>
    <w:rsid w:val="00044FA3"/>
    <w:rsid w:val="000819DC"/>
    <w:rsid w:val="00133C37"/>
    <w:rsid w:val="00162D4A"/>
    <w:rsid w:val="001D0BF1"/>
    <w:rsid w:val="00244BEA"/>
    <w:rsid w:val="002813B3"/>
    <w:rsid w:val="002E0B30"/>
    <w:rsid w:val="002F0187"/>
    <w:rsid w:val="00367082"/>
    <w:rsid w:val="00427373"/>
    <w:rsid w:val="00493219"/>
    <w:rsid w:val="004A04DA"/>
    <w:rsid w:val="004F5F77"/>
    <w:rsid w:val="005071EF"/>
    <w:rsid w:val="00507333"/>
    <w:rsid w:val="0064697E"/>
    <w:rsid w:val="00662D0A"/>
    <w:rsid w:val="007837FA"/>
    <w:rsid w:val="00844E8D"/>
    <w:rsid w:val="009206C8"/>
    <w:rsid w:val="00991137"/>
    <w:rsid w:val="00A64655"/>
    <w:rsid w:val="00A701FC"/>
    <w:rsid w:val="00AC1AD6"/>
    <w:rsid w:val="00AF79FD"/>
    <w:rsid w:val="00B76FC5"/>
    <w:rsid w:val="00B77B16"/>
    <w:rsid w:val="00BE205A"/>
    <w:rsid w:val="00CD5CBD"/>
    <w:rsid w:val="00DE4A4D"/>
    <w:rsid w:val="00E7345A"/>
    <w:rsid w:val="00EA57DC"/>
    <w:rsid w:val="00ED756B"/>
    <w:rsid w:val="00EF1E18"/>
    <w:rsid w:val="00F67A9E"/>
    <w:rsid w:val="00F8524B"/>
    <w:rsid w:val="00F9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1A4A"/>
  <w15:chartTrackingRefBased/>
  <w15:docId w15:val="{28FDC8AB-54D1-4146-A199-98DFCA4E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4FA3"/>
    <w:pPr>
      <w:spacing w:before="120"/>
      <w:outlineLvl w:val="0"/>
    </w:pPr>
    <w:rPr>
      <w:b/>
      <w:color w:val="C00000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4FA3"/>
    <w:pPr>
      <w:spacing w:before="120"/>
      <w:ind w:left="426"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06C8"/>
    <w:pPr>
      <w:spacing w:before="240" w:after="240" w:line="360" w:lineRule="auto"/>
      <w:outlineLvl w:val="2"/>
    </w:pPr>
    <w:rPr>
      <w:rFonts w:ascii="Arial" w:eastAsia="Times New Roman" w:hAnsi="Arial" w:cstheme="minorHAnsi"/>
      <w:b/>
      <w:color w:val="000000" w:themeColor="text1"/>
      <w:sz w:val="20"/>
      <w:szCs w:val="24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9206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206C8"/>
    <w:pPr>
      <w:numPr>
        <w:ilvl w:val="1"/>
        <w:numId w:val="1"/>
      </w:numPr>
      <w:spacing w:before="120" w:after="240" w:line="240" w:lineRule="auto"/>
    </w:pPr>
    <w:rPr>
      <w:rFonts w:eastAsia="Times New Roman" w:cstheme="minorHAnsi"/>
      <w:color w:val="000000" w:themeColor="text1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206C8"/>
    <w:rPr>
      <w:rFonts w:eastAsia="Times New Roman" w:cstheme="minorHAnsi"/>
      <w:color w:val="000000" w:themeColor="tex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06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harmonogrnagl2">
    <w:name w:val="harmonogr nagl 2"/>
    <w:basedOn w:val="Nagwek4"/>
    <w:link w:val="harmonogrnagl2Znak"/>
    <w:qFormat/>
    <w:rsid w:val="009206C8"/>
    <w:rPr>
      <w:rFonts w:cstheme="minorHAnsi"/>
      <w:color w:val="000000" w:themeColor="text1"/>
    </w:rPr>
  </w:style>
  <w:style w:type="character" w:customStyle="1" w:styleId="harmonogrnagl2Znak">
    <w:name w:val="harmonogr nagl 2 Znak"/>
    <w:basedOn w:val="Nagwek4Znak"/>
    <w:link w:val="harmonogrnagl2"/>
    <w:rsid w:val="009206C8"/>
    <w:rPr>
      <w:rFonts w:ascii="Times New Roman" w:eastAsia="Times New Roman" w:hAnsi="Times New Roman" w:cstheme="minorHAnsi"/>
      <w:b/>
      <w:bCs/>
      <w:color w:val="000000" w:themeColor="text1"/>
      <w:sz w:val="24"/>
      <w:szCs w:val="24"/>
      <w:lang w:eastAsia="pl-PL"/>
    </w:rPr>
  </w:style>
  <w:style w:type="paragraph" w:customStyle="1" w:styleId="punkt1">
    <w:name w:val="punkt 1)"/>
    <w:basedOn w:val="Akapitzlist"/>
    <w:link w:val="punkt1Znak"/>
    <w:qFormat/>
    <w:rsid w:val="009206C8"/>
    <w:pPr>
      <w:numPr>
        <w:ilvl w:val="0"/>
        <w:numId w:val="0"/>
      </w:numPr>
    </w:pPr>
    <w:rPr>
      <w:b/>
    </w:rPr>
  </w:style>
  <w:style w:type="character" w:customStyle="1" w:styleId="punkt1Znak">
    <w:name w:val="punkt 1) Znak"/>
    <w:basedOn w:val="AkapitzlistZnak"/>
    <w:link w:val="punkt1"/>
    <w:rsid w:val="009206C8"/>
    <w:rPr>
      <w:rFonts w:eastAsia="Times New Roman" w:cstheme="minorHAnsi"/>
      <w:b/>
      <w:color w:val="000000" w:themeColor="text1"/>
      <w:sz w:val="24"/>
      <w:szCs w:val="24"/>
      <w:lang w:eastAsia="pl-PL"/>
    </w:rPr>
  </w:style>
  <w:style w:type="paragraph" w:customStyle="1" w:styleId="harmonorampkt">
    <w:name w:val="harmonoram pkt"/>
    <w:basedOn w:val="punkt1"/>
    <w:link w:val="harmonorampktZnak"/>
    <w:qFormat/>
    <w:rsid w:val="009206C8"/>
    <w:pPr>
      <w:numPr>
        <w:numId w:val="2"/>
      </w:numPr>
      <w:spacing w:before="60" w:after="60"/>
    </w:pPr>
    <w:rPr>
      <w:b w:val="0"/>
    </w:rPr>
  </w:style>
  <w:style w:type="character" w:customStyle="1" w:styleId="harmonorampktZnak">
    <w:name w:val="harmonoram pkt Znak"/>
    <w:basedOn w:val="punkt1Znak"/>
    <w:link w:val="harmonorampkt"/>
    <w:rsid w:val="009206C8"/>
    <w:rPr>
      <w:rFonts w:eastAsia="Times New Roman" w:cstheme="minorHAnsi"/>
      <w:b w:val="0"/>
      <w:color w:val="000000" w:themeColor="text1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206C8"/>
    <w:pPr>
      <w:spacing w:after="240" w:line="240" w:lineRule="auto"/>
    </w:pPr>
    <w:rPr>
      <w:rFonts w:eastAsia="Times New Roman" w:cstheme="minorHAnsi"/>
      <w:i/>
      <w:iCs/>
      <w:color w:val="000000" w:themeColor="text1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44FA3"/>
    <w:rPr>
      <w:b/>
      <w:color w:val="C00000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044FA3"/>
    <w:rPr>
      <w:i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06C8"/>
    <w:rPr>
      <w:rFonts w:ascii="Arial" w:eastAsia="Times New Roman" w:hAnsi="Arial" w:cstheme="minorHAnsi"/>
      <w:b/>
      <w:color w:val="000000" w:themeColor="text1"/>
      <w:sz w:val="20"/>
      <w:szCs w:val="24"/>
      <w:lang w:eastAsia="pl-PL"/>
    </w:rPr>
  </w:style>
  <w:style w:type="paragraph" w:customStyle="1" w:styleId="podpunktkropkawciety">
    <w:name w:val="podpunkt kropka wciety"/>
    <w:basedOn w:val="Akapitzlist"/>
    <w:link w:val="podpunktkropkawcietyZnak"/>
    <w:qFormat/>
    <w:rsid w:val="009206C8"/>
    <w:pPr>
      <w:numPr>
        <w:ilvl w:val="0"/>
        <w:numId w:val="5"/>
      </w:numPr>
      <w:spacing w:before="0" w:after="0"/>
    </w:pPr>
  </w:style>
  <w:style w:type="character" w:customStyle="1" w:styleId="podpunktkropkawcietyZnak">
    <w:name w:val="podpunkt kropka wciety Znak"/>
    <w:basedOn w:val="AkapitzlistZnak"/>
    <w:link w:val="podpunktkropkawciety"/>
    <w:rsid w:val="009206C8"/>
    <w:rPr>
      <w:rFonts w:eastAsia="Times New Roman" w:cstheme="minorHAnsi"/>
      <w:color w:val="000000" w:themeColor="text1"/>
      <w:sz w:val="24"/>
      <w:szCs w:val="24"/>
      <w:lang w:eastAsia="pl-PL"/>
    </w:rPr>
  </w:style>
  <w:style w:type="paragraph" w:customStyle="1" w:styleId="podpunktkropka">
    <w:name w:val="podpunkt kropka"/>
    <w:basedOn w:val="podpunktkropkawciety"/>
    <w:link w:val="podpunktkropkaZnak"/>
    <w:qFormat/>
    <w:rsid w:val="009206C8"/>
    <w:pPr>
      <w:numPr>
        <w:numId w:val="0"/>
      </w:numPr>
      <w:ind w:left="357" w:hanging="357"/>
    </w:pPr>
  </w:style>
  <w:style w:type="character" w:customStyle="1" w:styleId="podpunktkropkaZnak">
    <w:name w:val="podpunkt kropka Znak"/>
    <w:basedOn w:val="podpunktkropkawcietyZnak"/>
    <w:link w:val="podpunktkropka"/>
    <w:rsid w:val="009206C8"/>
    <w:rPr>
      <w:rFonts w:eastAsia="Times New Roman" w:cstheme="minorHAnsi"/>
      <w:color w:val="000000" w:themeColor="text1"/>
      <w:sz w:val="24"/>
      <w:szCs w:val="24"/>
      <w:lang w:eastAsia="pl-PL"/>
    </w:rPr>
  </w:style>
  <w:style w:type="paragraph" w:customStyle="1" w:styleId="podpunktmay">
    <w:name w:val="podpunkt mały"/>
    <w:basedOn w:val="Akapitzlist"/>
    <w:link w:val="podpunktmayZnak"/>
    <w:qFormat/>
    <w:rsid w:val="009206C8"/>
    <w:pPr>
      <w:numPr>
        <w:numId w:val="6"/>
      </w:numPr>
    </w:pPr>
  </w:style>
  <w:style w:type="character" w:customStyle="1" w:styleId="podpunktmayZnak">
    <w:name w:val="podpunkt mały Znak"/>
    <w:basedOn w:val="AkapitzlistZnak"/>
    <w:link w:val="podpunktmay"/>
    <w:rsid w:val="009206C8"/>
    <w:rPr>
      <w:rFonts w:eastAsia="Times New Roman" w:cstheme="minorHAnsi"/>
      <w:color w:val="000000" w:themeColor="tex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2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2D0A"/>
  </w:style>
  <w:style w:type="paragraph" w:styleId="Stopka">
    <w:name w:val="footer"/>
    <w:basedOn w:val="Normalny"/>
    <w:link w:val="StopkaZnak"/>
    <w:uiPriority w:val="99"/>
    <w:unhideWhenUsed/>
    <w:rsid w:val="00662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2D0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69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697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697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44B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4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ongeo.pl/jak-sprawdzic-plan-zagospodarowania-przestrzennego-dzial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oportal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p.um.slupsk.pl/rada_miejska/uchwaly_rady_miejskiej/28127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903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Dziendziela</dc:creator>
  <cp:keywords/>
  <dc:description/>
  <cp:lastModifiedBy>Katarzyna Dziendziela</cp:lastModifiedBy>
  <cp:revision>18</cp:revision>
  <cp:lastPrinted>2025-09-23T10:35:00Z</cp:lastPrinted>
  <dcterms:created xsi:type="dcterms:W3CDTF">2025-09-23T07:53:00Z</dcterms:created>
  <dcterms:modified xsi:type="dcterms:W3CDTF">2025-09-23T11:19:00Z</dcterms:modified>
</cp:coreProperties>
</file>